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5C5" w:rsidRDefault="000565C5" w:rsidP="000565C5">
      <w:pPr>
        <w:jc w:val="center"/>
        <w:rPr>
          <w:rFonts w:ascii="方正小标宋_GBK" w:eastAsia="方正小标宋_GBK"/>
          <w:b/>
          <w:color w:val="FF0000"/>
          <w:sz w:val="52"/>
          <w:szCs w:val="52"/>
        </w:rPr>
      </w:pPr>
      <w:r>
        <w:rPr>
          <w:rFonts w:ascii="方正小标宋_GBK" w:eastAsia="方正小标宋_GBK" w:hint="eastAsia"/>
          <w:b/>
          <w:color w:val="FF0000"/>
          <w:sz w:val="52"/>
          <w:szCs w:val="52"/>
        </w:rPr>
        <w:t>中山大学材料科学与工程学院</w:t>
      </w:r>
    </w:p>
    <w:p w:rsidR="000565C5" w:rsidRDefault="000565C5" w:rsidP="000565C5">
      <w:pPr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021EFB" wp14:editId="276B8CD4">
                <wp:simplePos x="0" y="0"/>
                <wp:positionH relativeFrom="column">
                  <wp:posOffset>41910</wp:posOffset>
                </wp:positionH>
                <wp:positionV relativeFrom="paragraph">
                  <wp:posOffset>144145</wp:posOffset>
                </wp:positionV>
                <wp:extent cx="5721985" cy="50800"/>
                <wp:effectExtent l="0" t="0" r="0" b="0"/>
                <wp:wrapNone/>
                <wp:docPr id="24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50800"/>
                          <a:chOff x="754" y="3190"/>
                          <a:chExt cx="9693" cy="80"/>
                        </a:xfrm>
                      </wpg:grpSpPr>
                      <wps:wsp>
                        <wps:cNvPr id="241" name="Line 3"/>
                        <wps:cNvCnPr/>
                        <wps:spPr bwMode="auto">
                          <a:xfrm>
                            <a:off x="754" y="319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42" name="Line 4"/>
                        <wps:cNvCnPr/>
                        <wps:spPr bwMode="auto">
                          <a:xfrm>
                            <a:off x="754" y="327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11856F" id="Group 2" o:spid="_x0000_s1026" style="position:absolute;left:0;text-align:left;margin-left:3.3pt;margin-top:11.35pt;width:450.55pt;height:4pt;z-index:251659264" coordorigin="754,3190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">
                <v:line id="Line 3" o:spid="_x0000_s1027" style="position:absolute;visibility:visible;mso-wrap-style:square" from="754,3190" to="10447,3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" strokecolor="red" strokeweight="2.25pt"/>
                <v:line id="Line 4" o:spid="_x0000_s1028" style="position:absolute;visibility:visible;mso-wrap-style:square" from="754,3270" to="10447,3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" strokecolor="red"/>
              </v:group>
            </w:pict>
          </mc:Fallback>
        </mc:AlternateContent>
      </w:r>
    </w:p>
    <w:p w:rsidR="000565C5" w:rsidRDefault="000565C5" w:rsidP="000565C5">
      <w:pPr>
        <w:tabs>
          <w:tab w:val="left" w:pos="9072"/>
        </w:tabs>
        <w:adjustRightInd w:val="0"/>
        <w:snapToGrid w:val="0"/>
        <w:spacing w:line="560" w:lineRule="exact"/>
        <w:ind w:right="22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材料设备【20</w:t>
      </w:r>
      <w:r>
        <w:rPr>
          <w:rFonts w:ascii="仿宋_GB2312" w:eastAsia="仿宋_GB2312"/>
          <w:kern w:val="0"/>
          <w:sz w:val="32"/>
          <w:szCs w:val="32"/>
        </w:rPr>
        <w:t>20</w:t>
      </w:r>
      <w:r>
        <w:rPr>
          <w:rFonts w:ascii="仿宋_GB2312" w:eastAsia="仿宋_GB2312" w:hint="eastAsia"/>
          <w:kern w:val="0"/>
          <w:sz w:val="32"/>
          <w:szCs w:val="32"/>
        </w:rPr>
        <w:t>】4号</w:t>
      </w:r>
    </w:p>
    <w:p w:rsidR="000565C5" w:rsidRDefault="000565C5" w:rsidP="000565C5">
      <w:pPr>
        <w:adjustRightInd w:val="0"/>
        <w:snapToGrid w:val="0"/>
        <w:spacing w:line="560" w:lineRule="exact"/>
        <w:ind w:right="1760"/>
        <w:rPr>
          <w:rFonts w:ascii="仿宋_GB2312" w:eastAsia="仿宋_GB2312"/>
          <w:kern w:val="0"/>
          <w:sz w:val="32"/>
          <w:szCs w:val="32"/>
        </w:rPr>
      </w:pPr>
    </w:p>
    <w:p w:rsidR="000565C5" w:rsidRDefault="000565C5" w:rsidP="000565C5">
      <w:pPr>
        <w:pStyle w:val="2"/>
      </w:pPr>
      <w:bookmarkStart w:id="0" w:name="_Toc25052"/>
      <w:r>
        <w:rPr>
          <w:rFonts w:hint="eastAsia"/>
        </w:rPr>
        <w:t>材料科学与工程学院实验室工作人员守则</w:t>
      </w:r>
      <w:bookmarkEnd w:id="0"/>
    </w:p>
    <w:p w:rsidR="000565C5" w:rsidRDefault="000565C5" w:rsidP="000565C5"/>
    <w:p w:rsidR="000565C5" w:rsidRDefault="000565C5" w:rsidP="000565C5"/>
    <w:p w:rsidR="000565C5" w:rsidRDefault="000565C5" w:rsidP="000565C5">
      <w:pPr>
        <w:pStyle w:val="Default"/>
        <w:numPr>
          <w:ilvl w:val="0"/>
          <w:numId w:val="1"/>
        </w:numPr>
        <w:tabs>
          <w:tab w:val="left" w:pos="-360"/>
        </w:tabs>
        <w:spacing w:line="560" w:lineRule="exact"/>
        <w:ind w:left="0" w:firstLineChars="200" w:firstLine="720"/>
        <w:rPr>
          <w:rFonts w:ascii="仿宋_GB2312" w:eastAsia="仿宋_GB2312"/>
          <w:spacing w:val="20"/>
          <w:sz w:val="32"/>
          <w:szCs w:val="32"/>
        </w:rPr>
      </w:pPr>
      <w:r>
        <w:rPr>
          <w:rFonts w:ascii="仿宋_GB2312" w:eastAsia="仿宋_GB2312" w:hint="eastAsia"/>
          <w:spacing w:val="20"/>
          <w:sz w:val="32"/>
          <w:szCs w:val="32"/>
        </w:rPr>
        <w:t>实验室工作人员必须要熟悉学校、学院有关实验室安全管理和仪器设备管理的各项规章制度。</w:t>
      </w:r>
    </w:p>
    <w:p w:rsidR="000565C5" w:rsidRDefault="000565C5" w:rsidP="000565C5">
      <w:pPr>
        <w:pStyle w:val="Default"/>
        <w:numPr>
          <w:ilvl w:val="0"/>
          <w:numId w:val="1"/>
        </w:numPr>
        <w:tabs>
          <w:tab w:val="left" w:pos="-360"/>
        </w:tabs>
        <w:spacing w:line="560" w:lineRule="exact"/>
        <w:ind w:left="0" w:firstLineChars="200" w:firstLine="720"/>
        <w:rPr>
          <w:rFonts w:ascii="仿宋_GB2312" w:eastAsia="仿宋_GB2312"/>
          <w:spacing w:val="20"/>
          <w:sz w:val="32"/>
          <w:szCs w:val="32"/>
        </w:rPr>
      </w:pPr>
      <w:r>
        <w:rPr>
          <w:rFonts w:ascii="仿宋_GB2312" w:eastAsia="仿宋_GB2312" w:hint="eastAsia"/>
          <w:spacing w:val="20"/>
          <w:sz w:val="32"/>
          <w:szCs w:val="32"/>
        </w:rPr>
        <w:t>实验室工作人员</w:t>
      </w:r>
      <w:r>
        <w:rPr>
          <w:rFonts w:ascii="仿宋_GB2312" w:eastAsia="仿宋_GB2312" w:hint="eastAsia"/>
          <w:sz w:val="32"/>
          <w:szCs w:val="32"/>
        </w:rPr>
        <w:t>必须保持高度的消防安全意识和责任感，熟悉本实验室水、电开关和气路阀门位置和操作，熟悉现有各种灭火器材的使用方法和放置地点，爱护消防器材和设施。</w:t>
      </w:r>
    </w:p>
    <w:p w:rsidR="000565C5" w:rsidRDefault="000565C5" w:rsidP="000565C5">
      <w:pPr>
        <w:pStyle w:val="Default"/>
        <w:numPr>
          <w:ilvl w:val="0"/>
          <w:numId w:val="1"/>
        </w:numPr>
        <w:tabs>
          <w:tab w:val="left" w:pos="-360"/>
        </w:tabs>
        <w:spacing w:line="560" w:lineRule="exact"/>
        <w:ind w:left="0" w:firstLineChars="200" w:firstLine="720"/>
        <w:rPr>
          <w:rFonts w:ascii="仿宋_GB2312" w:eastAsia="仿宋_GB2312"/>
          <w:spacing w:val="20"/>
          <w:sz w:val="32"/>
          <w:szCs w:val="32"/>
        </w:rPr>
      </w:pPr>
      <w:r>
        <w:rPr>
          <w:rFonts w:ascii="仿宋_GB2312" w:eastAsia="仿宋_GB2312" w:hint="eastAsia"/>
          <w:spacing w:val="20"/>
          <w:sz w:val="32"/>
          <w:szCs w:val="32"/>
        </w:rPr>
        <w:t>定期对实验室进行安全自查，及时报告并消除安全隐患；出现意外事故要及时报警，通力抢救，事后要作书面报告。</w:t>
      </w:r>
    </w:p>
    <w:p w:rsidR="000565C5" w:rsidRDefault="000565C5" w:rsidP="000565C5">
      <w:pPr>
        <w:pStyle w:val="Default"/>
        <w:numPr>
          <w:ilvl w:val="0"/>
          <w:numId w:val="1"/>
        </w:numPr>
        <w:spacing w:line="560" w:lineRule="exact"/>
        <w:ind w:left="0" w:firstLineChars="200" w:firstLine="720"/>
        <w:rPr>
          <w:rFonts w:ascii="仿宋_GB2312" w:eastAsia="仿宋_GB2312"/>
          <w:spacing w:val="20"/>
          <w:sz w:val="32"/>
          <w:szCs w:val="32"/>
        </w:rPr>
      </w:pPr>
      <w:r>
        <w:rPr>
          <w:rFonts w:ascii="仿宋_GB2312" w:eastAsia="仿宋_GB2312" w:hint="eastAsia"/>
          <w:spacing w:val="20"/>
          <w:sz w:val="32"/>
          <w:szCs w:val="32"/>
        </w:rPr>
        <w:t>做好</w:t>
      </w:r>
      <w:r>
        <w:rPr>
          <w:rFonts w:ascii="仿宋_GB2312" w:eastAsia="仿宋_GB2312"/>
          <w:spacing w:val="20"/>
          <w:sz w:val="32"/>
          <w:szCs w:val="32"/>
        </w:rPr>
        <w:t>实验材料</w:t>
      </w:r>
      <w:r>
        <w:rPr>
          <w:rFonts w:ascii="仿宋_GB2312" w:eastAsia="仿宋_GB2312" w:hint="eastAsia"/>
          <w:spacing w:val="20"/>
          <w:sz w:val="32"/>
          <w:szCs w:val="32"/>
        </w:rPr>
        <w:t>和</w:t>
      </w:r>
      <w:r>
        <w:rPr>
          <w:rFonts w:ascii="仿宋_GB2312" w:eastAsia="仿宋_GB2312"/>
          <w:spacing w:val="20"/>
          <w:sz w:val="32"/>
          <w:szCs w:val="32"/>
        </w:rPr>
        <w:t>达不到固定资产登记标准的资产</w:t>
      </w:r>
      <w:r>
        <w:rPr>
          <w:rFonts w:ascii="仿宋_GB2312" w:eastAsia="仿宋_GB2312" w:hint="eastAsia"/>
          <w:spacing w:val="20"/>
          <w:sz w:val="32"/>
          <w:szCs w:val="32"/>
        </w:rPr>
        <w:t>的入库和领用登记。</w:t>
      </w:r>
    </w:p>
    <w:p w:rsidR="000565C5" w:rsidRDefault="000565C5" w:rsidP="000565C5">
      <w:pPr>
        <w:pStyle w:val="Default"/>
        <w:numPr>
          <w:ilvl w:val="0"/>
          <w:numId w:val="1"/>
        </w:numPr>
        <w:spacing w:line="560" w:lineRule="exact"/>
        <w:ind w:left="0" w:firstLineChars="200" w:firstLine="720"/>
        <w:rPr>
          <w:rFonts w:ascii="仿宋_GB2312" w:eastAsia="仿宋_GB2312"/>
          <w:spacing w:val="20"/>
          <w:sz w:val="32"/>
          <w:szCs w:val="32"/>
        </w:rPr>
      </w:pPr>
      <w:r>
        <w:rPr>
          <w:rFonts w:ascii="仿宋_GB2312" w:eastAsia="仿宋_GB2312" w:hint="eastAsia"/>
          <w:spacing w:val="20"/>
          <w:sz w:val="32"/>
          <w:szCs w:val="32"/>
        </w:rPr>
        <w:t>对易燃易爆、易制毒试剂等管制类试剂必须实行专人管理，按要求分类规范存放，做好台账和使用登记。</w:t>
      </w:r>
    </w:p>
    <w:p w:rsidR="000565C5" w:rsidRDefault="000565C5" w:rsidP="000565C5">
      <w:pPr>
        <w:pStyle w:val="Default"/>
        <w:numPr>
          <w:ilvl w:val="0"/>
          <w:numId w:val="1"/>
        </w:numPr>
        <w:spacing w:line="560" w:lineRule="exact"/>
        <w:ind w:left="0" w:firstLineChars="200" w:firstLine="720"/>
        <w:rPr>
          <w:rFonts w:ascii="仿宋_GB2312" w:eastAsia="仿宋_GB2312" w:cs="Times New Roman"/>
          <w:spacing w:val="20"/>
          <w:sz w:val="32"/>
          <w:szCs w:val="32"/>
        </w:rPr>
      </w:pPr>
      <w:r>
        <w:rPr>
          <w:rFonts w:ascii="仿宋_GB2312" w:eastAsia="仿宋_GB2312" w:hint="eastAsia"/>
          <w:spacing w:val="20"/>
          <w:sz w:val="32"/>
          <w:szCs w:val="32"/>
        </w:rPr>
        <w:t>确保分管的仪器设备帐、卡、物相符，做好仪器设备尤其是贵重仪器设备日常使用登记，</w:t>
      </w:r>
    </w:p>
    <w:p w:rsidR="000565C5" w:rsidRDefault="000565C5" w:rsidP="000565C5">
      <w:pPr>
        <w:pStyle w:val="Default"/>
        <w:numPr>
          <w:ilvl w:val="0"/>
          <w:numId w:val="1"/>
        </w:numPr>
        <w:spacing w:line="560" w:lineRule="exact"/>
        <w:ind w:left="0" w:firstLineChars="200" w:firstLine="720"/>
        <w:rPr>
          <w:rFonts w:ascii="仿宋_GB2312" w:eastAsia="仿宋_GB2312" w:cs="Times New Roman"/>
          <w:spacing w:val="20"/>
          <w:sz w:val="32"/>
          <w:szCs w:val="32"/>
        </w:rPr>
      </w:pPr>
      <w:r>
        <w:rPr>
          <w:rFonts w:ascii="仿宋_GB2312" w:eastAsia="仿宋_GB2312" w:hint="eastAsia"/>
          <w:spacing w:val="20"/>
          <w:sz w:val="32"/>
          <w:szCs w:val="32"/>
        </w:rPr>
        <w:lastRenderedPageBreak/>
        <w:t>仪器设备不得借出使用或带他人来使用，借用仪器设备必须经实验室负责人批准，并办理登记手续。</w:t>
      </w:r>
    </w:p>
    <w:p w:rsidR="000565C5" w:rsidRDefault="000565C5" w:rsidP="000565C5">
      <w:pPr>
        <w:pStyle w:val="Default"/>
        <w:numPr>
          <w:ilvl w:val="0"/>
          <w:numId w:val="1"/>
        </w:numPr>
        <w:spacing w:line="560" w:lineRule="exact"/>
        <w:ind w:left="0" w:firstLineChars="200" w:firstLine="720"/>
        <w:rPr>
          <w:rFonts w:ascii="仿宋_GB2312" w:eastAsia="仿宋_GB2312"/>
          <w:spacing w:val="20"/>
          <w:sz w:val="32"/>
          <w:szCs w:val="32"/>
        </w:rPr>
      </w:pPr>
      <w:r>
        <w:rPr>
          <w:rFonts w:ascii="仿宋_GB2312" w:eastAsia="仿宋_GB2312" w:hint="eastAsia"/>
          <w:spacing w:val="20"/>
          <w:sz w:val="32"/>
          <w:szCs w:val="32"/>
        </w:rPr>
        <w:t>维护好所负责保管的仪器设备，特别是贵重精密仪器设备，要注意防潮防霉；损坏仪器及时联系维修，做力所能及的修理。</w:t>
      </w:r>
    </w:p>
    <w:p w:rsidR="000565C5" w:rsidRDefault="000565C5" w:rsidP="000565C5">
      <w:pPr>
        <w:pStyle w:val="Default"/>
        <w:numPr>
          <w:ilvl w:val="0"/>
          <w:numId w:val="1"/>
        </w:numPr>
        <w:spacing w:line="560" w:lineRule="exact"/>
        <w:ind w:left="0" w:firstLineChars="200" w:firstLine="720"/>
        <w:rPr>
          <w:rFonts w:ascii="仿宋_GB2312" w:eastAsia="仿宋_GB2312" w:cs="Times New Roman"/>
          <w:spacing w:val="20"/>
          <w:sz w:val="32"/>
          <w:szCs w:val="32"/>
        </w:rPr>
      </w:pPr>
      <w:r>
        <w:rPr>
          <w:rFonts w:ascii="仿宋_GB2312" w:eastAsia="仿宋_GB2312" w:hint="eastAsia"/>
          <w:spacing w:val="20"/>
          <w:sz w:val="32"/>
          <w:szCs w:val="32"/>
        </w:rPr>
        <w:t>定期开展</w:t>
      </w:r>
      <w:r>
        <w:rPr>
          <w:rFonts w:ascii="仿宋_GB2312" w:eastAsia="仿宋_GB2312" w:hint="eastAsia"/>
          <w:sz w:val="32"/>
          <w:szCs w:val="32"/>
        </w:rPr>
        <w:t>实验室清洁卫生工作，</w:t>
      </w:r>
      <w:r>
        <w:rPr>
          <w:rFonts w:ascii="仿宋_GB2312" w:eastAsia="仿宋_GB2312" w:hint="eastAsia"/>
          <w:spacing w:val="20"/>
          <w:sz w:val="32"/>
          <w:szCs w:val="32"/>
        </w:rPr>
        <w:t>确保实验室的桌面、地板及仪器设备整齐清洁。</w:t>
      </w:r>
    </w:p>
    <w:p w:rsidR="000565C5" w:rsidRDefault="000565C5" w:rsidP="000565C5">
      <w:pPr>
        <w:pStyle w:val="Default"/>
        <w:numPr>
          <w:ilvl w:val="0"/>
          <w:numId w:val="1"/>
        </w:numPr>
        <w:spacing w:line="560" w:lineRule="exact"/>
        <w:ind w:left="0" w:firstLineChars="200" w:firstLine="720"/>
        <w:rPr>
          <w:rFonts w:ascii="仿宋_GB2312" w:eastAsia="仿宋_GB2312" w:cs="Times New Roman"/>
          <w:spacing w:val="20"/>
          <w:sz w:val="32"/>
          <w:szCs w:val="32"/>
        </w:rPr>
      </w:pPr>
      <w:r>
        <w:rPr>
          <w:rFonts w:ascii="仿宋_GB2312" w:eastAsia="仿宋_GB2312" w:hint="eastAsia"/>
          <w:spacing w:val="20"/>
          <w:sz w:val="32"/>
          <w:szCs w:val="32"/>
        </w:rPr>
        <w:t>按学校学院定期申报处理</w:t>
      </w:r>
      <w:r>
        <w:rPr>
          <w:rFonts w:ascii="仿宋_GB2312" w:eastAsia="仿宋_GB2312" w:hint="eastAsia"/>
          <w:sz w:val="32"/>
          <w:szCs w:val="32"/>
        </w:rPr>
        <w:t>实验过程产生的化学废弃物。</w:t>
      </w:r>
    </w:p>
    <w:p w:rsidR="000565C5" w:rsidRDefault="000565C5" w:rsidP="000565C5">
      <w:pPr>
        <w:pStyle w:val="Default"/>
        <w:numPr>
          <w:ilvl w:val="0"/>
          <w:numId w:val="1"/>
        </w:numPr>
        <w:tabs>
          <w:tab w:val="left" w:pos="-360"/>
        </w:tabs>
        <w:spacing w:line="560" w:lineRule="exact"/>
        <w:ind w:left="0" w:firstLineChars="200" w:firstLine="720"/>
        <w:rPr>
          <w:rFonts w:ascii="仿宋_GB2312" w:eastAsia="仿宋_GB2312"/>
          <w:spacing w:val="20"/>
          <w:sz w:val="32"/>
          <w:szCs w:val="32"/>
        </w:rPr>
      </w:pPr>
      <w:r>
        <w:rPr>
          <w:rFonts w:ascii="仿宋_GB2312" w:eastAsia="仿宋_GB2312" w:hint="eastAsia"/>
          <w:spacing w:val="20"/>
          <w:sz w:val="32"/>
          <w:szCs w:val="32"/>
        </w:rPr>
        <w:t>临时离开实验室，正在进行的实验必须委托别人照管，最后离开实验室必须关好门窗、水</w:t>
      </w:r>
      <w:proofErr w:type="gramStart"/>
      <w:r>
        <w:rPr>
          <w:rFonts w:ascii="仿宋_GB2312" w:eastAsia="仿宋_GB2312" w:hint="eastAsia"/>
          <w:spacing w:val="20"/>
          <w:sz w:val="32"/>
          <w:szCs w:val="32"/>
        </w:rPr>
        <w:t>掣</w:t>
      </w:r>
      <w:proofErr w:type="gramEnd"/>
      <w:r>
        <w:rPr>
          <w:rFonts w:ascii="仿宋_GB2312" w:eastAsia="仿宋_GB2312" w:hint="eastAsia"/>
          <w:spacing w:val="20"/>
          <w:sz w:val="32"/>
          <w:szCs w:val="32"/>
        </w:rPr>
        <w:t>和电</w:t>
      </w:r>
      <w:proofErr w:type="gramStart"/>
      <w:r>
        <w:rPr>
          <w:rFonts w:ascii="仿宋_GB2312" w:eastAsia="仿宋_GB2312" w:hint="eastAsia"/>
          <w:spacing w:val="20"/>
          <w:sz w:val="32"/>
          <w:szCs w:val="32"/>
        </w:rPr>
        <w:t>掣</w:t>
      </w:r>
      <w:proofErr w:type="gramEnd"/>
      <w:r>
        <w:rPr>
          <w:rFonts w:ascii="仿宋_GB2312" w:eastAsia="仿宋_GB2312" w:hint="eastAsia"/>
          <w:spacing w:val="20"/>
          <w:sz w:val="32"/>
          <w:szCs w:val="32"/>
        </w:rPr>
        <w:t>。</w:t>
      </w:r>
    </w:p>
    <w:p w:rsidR="000565C5" w:rsidRDefault="000565C5" w:rsidP="000565C5">
      <w:pPr>
        <w:pStyle w:val="Default"/>
        <w:numPr>
          <w:ilvl w:val="0"/>
          <w:numId w:val="1"/>
        </w:numPr>
        <w:spacing w:line="560" w:lineRule="exact"/>
        <w:ind w:left="0" w:firstLineChars="200" w:firstLine="720"/>
        <w:rPr>
          <w:rFonts w:ascii="仿宋_GB2312" w:eastAsia="仿宋_GB2312" w:cs="Times New Roman"/>
          <w:spacing w:val="20"/>
          <w:sz w:val="32"/>
          <w:szCs w:val="32"/>
        </w:rPr>
      </w:pPr>
      <w:r>
        <w:rPr>
          <w:rFonts w:ascii="仿宋_GB2312" w:eastAsia="仿宋_GB2312" w:hint="eastAsia"/>
          <w:spacing w:val="20"/>
          <w:sz w:val="32"/>
          <w:szCs w:val="32"/>
        </w:rPr>
        <w:t>未经实验室负责人同意，不能擅自配实验室门匙，违者公开批评，并担负今后由此发生的安全责任。</w:t>
      </w:r>
    </w:p>
    <w:p w:rsidR="000565C5" w:rsidRDefault="000565C5" w:rsidP="000565C5">
      <w:pPr>
        <w:pStyle w:val="Default"/>
        <w:numPr>
          <w:ilvl w:val="0"/>
          <w:numId w:val="1"/>
        </w:numPr>
        <w:spacing w:line="560" w:lineRule="exact"/>
        <w:ind w:left="0" w:firstLineChars="200" w:firstLine="720"/>
        <w:rPr>
          <w:rFonts w:ascii="仿宋_GB2312" w:eastAsia="仿宋_GB2312" w:cs="Times New Roman"/>
          <w:spacing w:val="20"/>
          <w:sz w:val="32"/>
          <w:szCs w:val="32"/>
        </w:rPr>
      </w:pPr>
      <w:r>
        <w:rPr>
          <w:rFonts w:ascii="仿宋_GB2312" w:eastAsia="仿宋_GB2312" w:hint="eastAsia"/>
          <w:spacing w:val="20"/>
          <w:sz w:val="32"/>
          <w:szCs w:val="32"/>
        </w:rPr>
        <w:t>监督获得批准进入本实验室进行开展实验活动的教师、研究生、本科生等人员遵守各项实验室规章制度。</w:t>
      </w:r>
    </w:p>
    <w:p w:rsidR="000565C5" w:rsidRDefault="000565C5" w:rsidP="000565C5">
      <w:pPr>
        <w:pStyle w:val="Default"/>
        <w:tabs>
          <w:tab w:val="left" w:pos="1680"/>
        </w:tabs>
        <w:spacing w:line="560" w:lineRule="exact"/>
        <w:ind w:left="839"/>
        <w:rPr>
          <w:rFonts w:ascii="仿宋_GB2312" w:eastAsia="仿宋_GB2312" w:cs="Times New Roman"/>
          <w:spacing w:val="20"/>
          <w:sz w:val="32"/>
          <w:szCs w:val="32"/>
        </w:rPr>
      </w:pPr>
      <w:r>
        <w:rPr>
          <w:rFonts w:ascii="仿宋_GB2312" w:eastAsia="仿宋_GB2312" w:cs="Times New Roman" w:hint="eastAsia"/>
          <w:spacing w:val="20"/>
          <w:sz w:val="32"/>
          <w:szCs w:val="32"/>
        </w:rPr>
        <w:t xml:space="preserve">     </w:t>
      </w:r>
    </w:p>
    <w:p w:rsidR="000565C5" w:rsidRDefault="000565C5" w:rsidP="000565C5">
      <w:pPr>
        <w:pStyle w:val="Default"/>
        <w:tabs>
          <w:tab w:val="left" w:pos="1680"/>
        </w:tabs>
        <w:spacing w:line="560" w:lineRule="exact"/>
        <w:ind w:firstLineChars="1150" w:firstLine="4140"/>
        <w:rPr>
          <w:rFonts w:ascii="仿宋_GB2312" w:eastAsia="仿宋_GB2312" w:cs="Times New Roman"/>
          <w:bCs/>
          <w:spacing w:val="20"/>
          <w:sz w:val="32"/>
          <w:szCs w:val="32"/>
        </w:rPr>
      </w:pPr>
      <w:r>
        <w:rPr>
          <w:rFonts w:ascii="仿宋_GB2312" w:eastAsia="仿宋_GB2312" w:hint="eastAsia"/>
          <w:bCs/>
          <w:spacing w:val="20"/>
          <w:sz w:val="32"/>
          <w:szCs w:val="32"/>
        </w:rPr>
        <w:t>中山大学材料科学与工程学院</w:t>
      </w:r>
    </w:p>
    <w:p w:rsidR="000565C5" w:rsidRDefault="000565C5" w:rsidP="000565C5">
      <w:pPr>
        <w:adjustRightInd w:val="0"/>
        <w:snapToGrid w:val="0"/>
        <w:spacing w:line="56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spacing w:val="20"/>
          <w:sz w:val="32"/>
          <w:szCs w:val="32"/>
        </w:rPr>
        <w:t xml:space="preserve">                      </w:t>
      </w:r>
      <w:r>
        <w:rPr>
          <w:rFonts w:ascii="仿宋_GB2312" w:eastAsia="仿宋_GB2312"/>
          <w:b/>
          <w:bCs/>
          <w:spacing w:val="20"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bCs/>
          <w:spacing w:val="20"/>
          <w:sz w:val="32"/>
          <w:szCs w:val="32"/>
        </w:rPr>
        <w:t xml:space="preserve">   </w:t>
      </w:r>
      <w:r>
        <w:rPr>
          <w:rFonts w:ascii="仿宋_GB2312" w:eastAsia="仿宋_GB2312" w:hint="eastAsia"/>
          <w:bCs/>
          <w:spacing w:val="20"/>
          <w:sz w:val="32"/>
          <w:szCs w:val="32"/>
        </w:rPr>
        <w:t>2020年6月28日</w:t>
      </w:r>
    </w:p>
    <w:p w:rsidR="000565C5" w:rsidRDefault="000565C5" w:rsidP="000565C5">
      <w:pPr>
        <w:rPr>
          <w:rFonts w:ascii="方正小标宋_GBK" w:eastAsia="方正小标宋_GBK"/>
          <w:b/>
          <w:color w:val="FF0000"/>
          <w:sz w:val="52"/>
          <w:szCs w:val="52"/>
        </w:rPr>
      </w:pPr>
      <w:r>
        <w:rPr>
          <w:rFonts w:ascii="方正小标宋_GBK" w:eastAsia="方正小标宋_GBK" w:hint="eastAsia"/>
          <w:b/>
          <w:color w:val="FF0000"/>
          <w:sz w:val="52"/>
          <w:szCs w:val="52"/>
        </w:rPr>
        <w:br w:type="page"/>
      </w:r>
    </w:p>
    <w:p w:rsidR="0087154D" w:rsidRDefault="0087154D">
      <w:bookmarkStart w:id="1" w:name="_GoBack"/>
      <w:bookmarkEnd w:id="1"/>
    </w:p>
    <w:sectPr w:rsidR="00871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27A2A"/>
    <w:multiLevelType w:val="multilevel"/>
    <w:tmpl w:val="12027A2A"/>
    <w:lvl w:ilvl="0">
      <w:start w:val="1"/>
      <w:numFmt w:val="japaneseCounting"/>
      <w:lvlText w:val="第%1条"/>
      <w:lvlJc w:val="left"/>
      <w:pPr>
        <w:ind w:left="1292" w:hanging="129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2" w:hanging="420"/>
      </w:pPr>
    </w:lvl>
    <w:lvl w:ilvl="2">
      <w:start w:val="1"/>
      <w:numFmt w:val="lowerRoman"/>
      <w:lvlText w:val="%3."/>
      <w:lvlJc w:val="right"/>
      <w:pPr>
        <w:ind w:left="1262" w:hanging="420"/>
      </w:pPr>
    </w:lvl>
    <w:lvl w:ilvl="3">
      <w:start w:val="1"/>
      <w:numFmt w:val="decimal"/>
      <w:lvlText w:val="%4."/>
      <w:lvlJc w:val="left"/>
      <w:pPr>
        <w:ind w:left="1682" w:hanging="420"/>
      </w:pPr>
    </w:lvl>
    <w:lvl w:ilvl="4">
      <w:start w:val="1"/>
      <w:numFmt w:val="lowerLetter"/>
      <w:lvlText w:val="%5)"/>
      <w:lvlJc w:val="left"/>
      <w:pPr>
        <w:ind w:left="2102" w:hanging="420"/>
      </w:pPr>
    </w:lvl>
    <w:lvl w:ilvl="5">
      <w:start w:val="1"/>
      <w:numFmt w:val="lowerRoman"/>
      <w:lvlText w:val="%6."/>
      <w:lvlJc w:val="right"/>
      <w:pPr>
        <w:ind w:left="2522" w:hanging="420"/>
      </w:pPr>
    </w:lvl>
    <w:lvl w:ilvl="6">
      <w:start w:val="1"/>
      <w:numFmt w:val="decimal"/>
      <w:lvlText w:val="%7."/>
      <w:lvlJc w:val="left"/>
      <w:pPr>
        <w:ind w:left="2942" w:hanging="420"/>
      </w:pPr>
    </w:lvl>
    <w:lvl w:ilvl="7">
      <w:start w:val="1"/>
      <w:numFmt w:val="lowerLetter"/>
      <w:lvlText w:val="%8)"/>
      <w:lvlJc w:val="left"/>
      <w:pPr>
        <w:ind w:left="3362" w:hanging="420"/>
      </w:pPr>
    </w:lvl>
    <w:lvl w:ilvl="8">
      <w:start w:val="1"/>
      <w:numFmt w:val="lowerRoman"/>
      <w:lvlText w:val="%9."/>
      <w:lvlJc w:val="right"/>
      <w:pPr>
        <w:ind w:left="37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C5"/>
    <w:rsid w:val="000565C5"/>
    <w:rsid w:val="0087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F24FB-4D37-4545-B0E1-90B893E7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5C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1"/>
    <w:uiPriority w:val="9"/>
    <w:unhideWhenUsed/>
    <w:qFormat/>
    <w:rsid w:val="000565C5"/>
    <w:pPr>
      <w:keepNext/>
      <w:keepLines/>
      <w:spacing w:line="413" w:lineRule="auto"/>
      <w:jc w:val="center"/>
      <w:outlineLvl w:val="1"/>
    </w:pPr>
    <w:rPr>
      <w:rFonts w:eastAsia="方正小标宋_GBK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0565C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basedOn w:val="a0"/>
    <w:link w:val="2"/>
    <w:uiPriority w:val="9"/>
    <w:qFormat/>
    <w:rsid w:val="000565C5"/>
    <w:rPr>
      <w:rFonts w:ascii="Times New Roman" w:eastAsia="方正小标宋_GBK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unhideWhenUsed/>
    <w:rsid w:val="000565C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596</Characters>
  <Application>Microsoft Office Word</Application>
  <DocSecurity>0</DocSecurity>
  <Lines>4</Lines>
  <Paragraphs>1</Paragraphs>
  <ScaleCrop>false</ScaleCrop>
  <Company>中山大学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2022-04-18T07:07:00Z</dcterms:created>
  <dcterms:modified xsi:type="dcterms:W3CDTF">2022-04-18T07:08:00Z</dcterms:modified>
</cp:coreProperties>
</file>