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647" w:rsidRDefault="00922647" w:rsidP="00922647">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922647" w:rsidRDefault="00922647" w:rsidP="00922647">
      <w:pPr>
        <w:jc w:val="center"/>
        <w:rPr>
          <w:b/>
          <w:sz w:val="32"/>
          <w:szCs w:val="32"/>
        </w:rPr>
      </w:pPr>
      <w:r>
        <w:rPr>
          <w:noProof/>
        </w:rPr>
        <mc:AlternateContent>
          <mc:Choice Requires="wpg">
            <w:drawing>
              <wp:anchor distT="0" distB="0" distL="114300" distR="114300" simplePos="0" relativeHeight="251659264" behindDoc="0" locked="0" layoutInCell="1" allowOverlap="1" wp14:anchorId="64268994" wp14:editId="3578EFE6">
                <wp:simplePos x="0" y="0"/>
                <wp:positionH relativeFrom="column">
                  <wp:posOffset>41910</wp:posOffset>
                </wp:positionH>
                <wp:positionV relativeFrom="paragraph">
                  <wp:posOffset>144145</wp:posOffset>
                </wp:positionV>
                <wp:extent cx="5721985" cy="50800"/>
                <wp:effectExtent l="0" t="0" r="0" b="0"/>
                <wp:wrapNone/>
                <wp:docPr id="228"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29" name="Line 3"/>
                        <wps:cNvCnPr/>
                        <wps:spPr bwMode="auto">
                          <a:xfrm>
                            <a:off x="754" y="3190"/>
                            <a:ext cx="9693" cy="0"/>
                          </a:xfrm>
                          <a:prstGeom prst="line">
                            <a:avLst/>
                          </a:prstGeom>
                          <a:noFill/>
                          <a:ln w="28575">
                            <a:solidFill>
                              <a:srgbClr val="FF0000"/>
                            </a:solidFill>
                            <a:round/>
                          </a:ln>
                        </wps:spPr>
                        <wps:bodyPr/>
                      </wps:wsp>
                      <wps:wsp>
                        <wps:cNvPr id="230"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4F01016A"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" strokecolor="red"/>
              </v:group>
            </w:pict>
          </mc:Fallback>
        </mc:AlternateContent>
      </w:r>
    </w:p>
    <w:p w:rsidR="00922647" w:rsidRDefault="00922647" w:rsidP="00922647">
      <w:pPr>
        <w:spacing w:beforeLines="50" w:before="156"/>
        <w:jc w:val="center"/>
        <w:rPr>
          <w:rFonts w:ascii="仿宋_GB2312" w:eastAsia="仿宋_GB2312"/>
          <w:bCs/>
          <w:sz w:val="32"/>
          <w:szCs w:val="32"/>
        </w:rPr>
      </w:pPr>
      <w:r>
        <w:rPr>
          <w:rFonts w:ascii="仿宋_GB2312" w:eastAsia="仿宋_GB2312" w:hint="eastAsia"/>
          <w:bCs/>
          <w:sz w:val="32"/>
          <w:szCs w:val="32"/>
        </w:rPr>
        <w:t xml:space="preserve">                                   材料设备【2020</w:t>
      </w:r>
      <w:r>
        <w:rPr>
          <w:rFonts w:ascii="仿宋_GB2312" w:eastAsia="仿宋_GB2312"/>
          <w:bCs/>
          <w:sz w:val="32"/>
          <w:szCs w:val="32"/>
        </w:rPr>
        <w:t xml:space="preserve"> </w:t>
      </w:r>
      <w:r>
        <w:rPr>
          <w:rFonts w:ascii="仿宋_GB2312" w:eastAsia="仿宋_GB2312" w:hint="eastAsia"/>
          <w:bCs/>
          <w:sz w:val="32"/>
          <w:szCs w:val="32"/>
        </w:rPr>
        <w:t>】2号</w:t>
      </w:r>
    </w:p>
    <w:p w:rsidR="00922647" w:rsidRDefault="00922647" w:rsidP="00922647">
      <w:pPr>
        <w:spacing w:beforeLines="50" w:before="156"/>
        <w:jc w:val="center"/>
        <w:rPr>
          <w:rFonts w:ascii="仿宋_GB2312" w:eastAsia="仿宋_GB2312"/>
          <w:bCs/>
          <w:sz w:val="32"/>
          <w:szCs w:val="32"/>
        </w:rPr>
      </w:pPr>
    </w:p>
    <w:p w:rsidR="00922647" w:rsidRDefault="00922647" w:rsidP="00922647">
      <w:pPr>
        <w:pStyle w:val="2"/>
        <w:rPr>
          <w:rFonts w:ascii="方正小标宋_GBK"/>
          <w:bCs/>
          <w:szCs w:val="36"/>
        </w:rPr>
      </w:pPr>
      <w:bookmarkStart w:id="0" w:name="_Toc21730"/>
      <w:r>
        <w:rPr>
          <w:rFonts w:hint="eastAsia"/>
        </w:rPr>
        <w:t>材料科学与工程学院实验室安全卫生守则</w:t>
      </w:r>
      <w:bookmarkEnd w:id="0"/>
    </w:p>
    <w:p w:rsidR="00922647" w:rsidRDefault="00922647" w:rsidP="00922647">
      <w:pPr>
        <w:ind w:left="1258" w:hangingChars="393" w:hanging="1258"/>
        <w:jc w:val="center"/>
        <w:rPr>
          <w:sz w:val="32"/>
        </w:rPr>
      </w:pPr>
      <w:r>
        <w:rPr>
          <w:rFonts w:hint="eastAsia"/>
          <w:sz w:val="32"/>
        </w:rPr>
        <w:t xml:space="preserve"> </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实验室是教学、科研的重要基地，实验室的安全卫生是实验教学工作正常运行的重要保证。凡进入实验室工作、学习人员必须严格执行学校和学院的安全管理规章制度，义不容辞地履行安全卫生工作职责。</w:t>
      </w:r>
      <w:r>
        <w:rPr>
          <w:rFonts w:ascii="仿宋_GB2312" w:eastAsia="仿宋_GB2312"/>
          <w:sz w:val="32"/>
          <w:szCs w:val="32"/>
        </w:rPr>
        <w:t xml:space="preserve"> </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开展实验活动人员必须通过所在实验室的准入制度培训和考核；其他人员不得擅自动用实验室的仪器设备和试剂器皿等物品。</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开展实验活动人员必须保持高度的消防安全意识和责任感，熟悉本实验室水、电开关和气路阀门位置和操作，熟悉现有各种灭火器材的使用方法和放置地点，爱护消防器材和设施。</w:t>
      </w:r>
    </w:p>
    <w:p w:rsidR="00922647" w:rsidRDefault="00922647" w:rsidP="00922647">
      <w:pPr>
        <w:numPr>
          <w:ilvl w:val="0"/>
          <w:numId w:val="1"/>
        </w:numPr>
        <w:tabs>
          <w:tab w:val="clear" w:pos="1980"/>
          <w:tab w:val="left" w:pos="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实验前必须预先熟悉仪器设备的性能及使用方法，检查水、电、路路是否正常，实验过程中要严格遵守各项操作规程，防止由于操作不当所引发的火警。</w:t>
      </w:r>
    </w:p>
    <w:p w:rsidR="00922647" w:rsidRDefault="00922647" w:rsidP="00922647">
      <w:pPr>
        <w:numPr>
          <w:ilvl w:val="0"/>
          <w:numId w:val="1"/>
        </w:numPr>
        <w:tabs>
          <w:tab w:val="clear" w:pos="1980"/>
          <w:tab w:val="left" w:pos="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实验前必须熟悉所使用的气体钢瓶及易燃易爆、易制毒、剧毒危险化学品的性能及使用方法，严格遵守各项</w:t>
      </w:r>
      <w:r>
        <w:rPr>
          <w:rFonts w:ascii="仿宋_GB2312" w:eastAsia="仿宋_GB2312" w:hint="eastAsia"/>
          <w:sz w:val="32"/>
          <w:szCs w:val="32"/>
        </w:rPr>
        <w:lastRenderedPageBreak/>
        <w:t>操作规程安全操作规程。</w:t>
      </w:r>
    </w:p>
    <w:p w:rsidR="00922647" w:rsidRDefault="00922647" w:rsidP="00922647">
      <w:pPr>
        <w:numPr>
          <w:ilvl w:val="0"/>
          <w:numId w:val="1"/>
        </w:numPr>
        <w:tabs>
          <w:tab w:val="clear" w:pos="1980"/>
          <w:tab w:val="left" w:pos="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实验过程产生的化学废弃物必须按学校学院有关实验室危险化学废物管理办法执行，不得混入一般生活垃圾中随意弃置，或直接排入实验室下水道。</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实验过程中如发现任何可能带来消防、安全隐患的现象（如漏水、漏电、漏气等），要及时采取有效措施予以处理，并报告实验室负责人或物业管理部门、学院办公室及时维修处理。</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23：00后的过夜实验须按学院有关过夜实验管理规定要求</w:t>
      </w:r>
      <w:r>
        <w:rPr>
          <w:rFonts w:ascii="仿宋_GB2312" w:eastAsia="仿宋_GB2312"/>
          <w:sz w:val="32"/>
          <w:szCs w:val="32"/>
        </w:rPr>
        <w:t>报批后方可开展</w:t>
      </w:r>
      <w:r>
        <w:rPr>
          <w:rFonts w:ascii="仿宋_GB2312" w:eastAsia="仿宋_GB2312" w:hint="eastAsia"/>
          <w:sz w:val="32"/>
          <w:szCs w:val="32"/>
        </w:rPr>
        <w:t>。</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出现意外事故时要保持镇定，采取有效的自救措施，及时逃生报警；如有可能，采取力所能及控制措施。</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制定值班制度，离开实验室前关好门窗、气瓶和水电开关，消除一切安全隐患。</w:t>
      </w:r>
    </w:p>
    <w:p w:rsidR="00922647" w:rsidRDefault="00922647" w:rsidP="00922647">
      <w:pPr>
        <w:numPr>
          <w:ilvl w:val="0"/>
          <w:numId w:val="1"/>
        </w:numPr>
        <w:tabs>
          <w:tab w:val="clear" w:pos="1980"/>
          <w:tab w:val="left" w:pos="144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寒暑假和法定节日进入实验室工作，须事先获得实验室负责人批准，</w:t>
      </w:r>
      <w:proofErr w:type="gramStart"/>
      <w:r>
        <w:rPr>
          <w:rFonts w:ascii="仿宋_GB2312" w:eastAsia="仿宋_GB2312" w:hint="eastAsia"/>
          <w:sz w:val="32"/>
          <w:szCs w:val="32"/>
        </w:rPr>
        <w:t>通知大楼</w:t>
      </w:r>
      <w:proofErr w:type="gramEnd"/>
      <w:r>
        <w:rPr>
          <w:rFonts w:ascii="仿宋_GB2312" w:eastAsia="仿宋_GB2312" w:hint="eastAsia"/>
          <w:sz w:val="32"/>
          <w:szCs w:val="32"/>
        </w:rPr>
        <w:t>值班人员并报学院办公室备案。</w:t>
      </w:r>
    </w:p>
    <w:p w:rsidR="00922647" w:rsidRDefault="00922647" w:rsidP="00922647">
      <w:pPr>
        <w:numPr>
          <w:ilvl w:val="0"/>
          <w:numId w:val="1"/>
        </w:numPr>
        <w:tabs>
          <w:tab w:val="clear" w:pos="1980"/>
          <w:tab w:val="left" w:pos="0"/>
        </w:tabs>
        <w:spacing w:line="560" w:lineRule="exact"/>
        <w:ind w:left="0" w:firstLineChars="200" w:firstLine="640"/>
        <w:rPr>
          <w:rFonts w:ascii="仿宋_GB2312" w:eastAsia="仿宋_GB2312"/>
          <w:sz w:val="32"/>
          <w:szCs w:val="32"/>
        </w:rPr>
      </w:pPr>
      <w:bookmarkStart w:id="1" w:name="_Hlk50492248"/>
      <w:r>
        <w:rPr>
          <w:rFonts w:ascii="仿宋_GB2312" w:eastAsia="仿宋_GB2312" w:hint="eastAsia"/>
          <w:sz w:val="32"/>
          <w:szCs w:val="32"/>
        </w:rPr>
        <w:t>做好实验室清洁卫生工作，保持实验室工作环境和仪器设备的整洁。</w:t>
      </w:r>
      <w:bookmarkEnd w:id="1"/>
    </w:p>
    <w:p w:rsidR="00922647" w:rsidRDefault="00922647" w:rsidP="00922647">
      <w:pPr>
        <w:numPr>
          <w:ilvl w:val="0"/>
          <w:numId w:val="1"/>
        </w:numPr>
        <w:tabs>
          <w:tab w:val="clear" w:pos="1980"/>
          <w:tab w:val="left" w:pos="0"/>
        </w:tabs>
        <w:spacing w:line="560" w:lineRule="exact"/>
        <w:ind w:left="0" w:firstLineChars="200" w:firstLine="640"/>
        <w:rPr>
          <w:rFonts w:ascii="仿宋_GB2312" w:eastAsia="仿宋_GB2312"/>
          <w:sz w:val="32"/>
          <w:szCs w:val="32"/>
        </w:rPr>
      </w:pPr>
      <w:r>
        <w:rPr>
          <w:rFonts w:ascii="仿宋_GB2312" w:eastAsia="仿宋_GB2312" w:hint="eastAsia"/>
          <w:sz w:val="32"/>
          <w:szCs w:val="32"/>
        </w:rPr>
        <w:t>禁止在实验室内吸烟、煮食、用电取暖、打牌、下棋、喧闹、玩电子游戏等行为，保持实验室安静，保证集中精力做好实验工作。</w:t>
      </w:r>
    </w:p>
    <w:p w:rsidR="00922647" w:rsidRDefault="00922647" w:rsidP="00922647">
      <w:pPr>
        <w:spacing w:line="560" w:lineRule="exact"/>
        <w:rPr>
          <w:rFonts w:ascii="仿宋_GB2312" w:eastAsia="仿宋_GB2312"/>
          <w:sz w:val="32"/>
          <w:szCs w:val="32"/>
        </w:rPr>
      </w:pPr>
    </w:p>
    <w:p w:rsidR="00922647" w:rsidRDefault="00922647" w:rsidP="00922647">
      <w:pPr>
        <w:tabs>
          <w:tab w:val="left" w:pos="2550"/>
        </w:tabs>
        <w:spacing w:line="560" w:lineRule="exact"/>
        <w:ind w:firstLineChars="800" w:firstLine="2560"/>
        <w:jc w:val="right"/>
        <w:rPr>
          <w:rFonts w:ascii="仿宋_GB2312" w:eastAsia="仿宋_GB2312"/>
          <w:sz w:val="32"/>
          <w:szCs w:val="32"/>
        </w:rPr>
      </w:pPr>
      <w:r>
        <w:rPr>
          <w:rFonts w:ascii="仿宋_GB2312" w:eastAsia="仿宋_GB2312" w:hint="eastAsia"/>
          <w:sz w:val="32"/>
          <w:szCs w:val="32"/>
        </w:rPr>
        <w:t>中山大学材料科学与工程学院</w:t>
      </w:r>
    </w:p>
    <w:p w:rsidR="00922647" w:rsidRDefault="00922647" w:rsidP="00922647">
      <w:pPr>
        <w:pStyle w:val="a3"/>
        <w:spacing w:line="560" w:lineRule="exact"/>
        <w:ind w:left="5250"/>
        <w:rPr>
          <w:rFonts w:ascii="仿宋_GB2312" w:eastAsia="仿宋_GB2312"/>
          <w:sz w:val="32"/>
          <w:szCs w:val="32"/>
        </w:rPr>
      </w:pPr>
      <w:bookmarkStart w:id="2" w:name="_GoBack"/>
      <w:bookmarkEnd w:id="2"/>
      <w:r>
        <w:rPr>
          <w:rFonts w:ascii="仿宋_GB2312" w:eastAsia="仿宋_GB2312" w:hint="eastAsia"/>
          <w:sz w:val="32"/>
          <w:szCs w:val="32"/>
        </w:rPr>
        <w:lastRenderedPageBreak/>
        <w:t>2020年9月1</w:t>
      </w:r>
      <w:r>
        <w:rPr>
          <w:rFonts w:ascii="仿宋_GB2312" w:eastAsia="仿宋_GB2312"/>
          <w:sz w:val="32"/>
          <w:szCs w:val="32"/>
        </w:rPr>
        <w:t>0</w:t>
      </w:r>
      <w:r>
        <w:rPr>
          <w:rFonts w:ascii="仿宋_GB2312" w:eastAsia="仿宋_GB2312" w:hint="eastAsia"/>
          <w:sz w:val="32"/>
          <w:szCs w:val="32"/>
        </w:rPr>
        <w:t>日</w:t>
      </w:r>
    </w:p>
    <w:p w:rsidR="00922647" w:rsidRDefault="00922647" w:rsidP="00922647">
      <w:pPr>
        <w:spacing w:line="560" w:lineRule="exact"/>
        <w:rPr>
          <w:rFonts w:ascii="仿宋_GB2312" w:eastAsia="仿宋_GB2312"/>
          <w:sz w:val="32"/>
          <w:szCs w:val="32"/>
        </w:rPr>
      </w:pPr>
    </w:p>
    <w:p w:rsidR="0087154D" w:rsidRDefault="0087154D"/>
    <w:sectPr w:rsidR="00871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2ED" w:rsidRDefault="009712ED" w:rsidP="00922647">
      <w:r>
        <w:separator/>
      </w:r>
    </w:p>
  </w:endnote>
  <w:endnote w:type="continuationSeparator" w:id="0">
    <w:p w:rsidR="009712ED" w:rsidRDefault="009712ED" w:rsidP="009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2ED" w:rsidRDefault="009712ED" w:rsidP="00922647">
      <w:r>
        <w:separator/>
      </w:r>
    </w:p>
  </w:footnote>
  <w:footnote w:type="continuationSeparator" w:id="0">
    <w:p w:rsidR="009712ED" w:rsidRDefault="009712ED" w:rsidP="009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03D45"/>
    <w:multiLevelType w:val="multilevel"/>
    <w:tmpl w:val="46003D45"/>
    <w:lvl w:ilvl="0">
      <w:start w:val="1"/>
      <w:numFmt w:val="japaneseCounting"/>
      <w:lvlText w:val="第%1条"/>
      <w:lvlJc w:val="left"/>
      <w:pPr>
        <w:tabs>
          <w:tab w:val="left" w:pos="1980"/>
        </w:tabs>
        <w:ind w:left="1980" w:hanging="720"/>
      </w:pPr>
      <w:rPr>
        <w:rFonts w:hint="eastAsia"/>
        <w:b/>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B3"/>
    <w:rsid w:val="00230E61"/>
    <w:rsid w:val="0087154D"/>
    <w:rsid w:val="00922647"/>
    <w:rsid w:val="009712ED"/>
    <w:rsid w:val="00C260B3"/>
    <w:rsid w:val="00DE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F4323"/>
  <w15:chartTrackingRefBased/>
  <w15:docId w15:val="{5366651D-6A7B-49E4-AE67-04D19ED1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E61"/>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230E61"/>
    <w:pPr>
      <w:keepNext/>
      <w:keepLines/>
      <w:spacing w:line="413" w:lineRule="auto"/>
      <w:jc w:val="center"/>
      <w:outlineLvl w:val="1"/>
    </w:pPr>
    <w:rPr>
      <w:rFonts w:eastAsia="方正小标宋_GBK"/>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230E61"/>
    <w:rPr>
      <w:rFonts w:asciiTheme="majorHAnsi" w:eastAsiaTheme="majorEastAsia" w:hAnsiTheme="majorHAnsi" w:cstheme="majorBidi"/>
      <w:b/>
      <w:bCs/>
      <w:sz w:val="32"/>
      <w:szCs w:val="32"/>
    </w:rPr>
  </w:style>
  <w:style w:type="paragraph" w:styleId="a3">
    <w:name w:val="Date"/>
    <w:basedOn w:val="a"/>
    <w:next w:val="a"/>
    <w:link w:val="1"/>
    <w:uiPriority w:val="99"/>
    <w:semiHidden/>
    <w:unhideWhenUsed/>
    <w:qFormat/>
    <w:rsid w:val="00230E61"/>
    <w:pPr>
      <w:ind w:leftChars="2500" w:left="100"/>
    </w:pPr>
  </w:style>
  <w:style w:type="character" w:customStyle="1" w:styleId="a4">
    <w:name w:val="日期 字符"/>
    <w:basedOn w:val="a0"/>
    <w:uiPriority w:val="99"/>
    <w:semiHidden/>
    <w:rsid w:val="00230E61"/>
    <w:rPr>
      <w:rFonts w:ascii="Times New Roman" w:eastAsia="宋体" w:hAnsi="Times New Roman" w:cs="Times New Roman"/>
      <w:szCs w:val="20"/>
    </w:rPr>
  </w:style>
  <w:style w:type="character" w:customStyle="1" w:styleId="1">
    <w:name w:val="日期 字符1"/>
    <w:basedOn w:val="a0"/>
    <w:link w:val="a3"/>
    <w:rsid w:val="00230E61"/>
    <w:rPr>
      <w:rFonts w:ascii="Times New Roman" w:eastAsia="宋体" w:hAnsi="Times New Roman" w:cs="Times New Roman"/>
      <w:szCs w:val="20"/>
    </w:rPr>
  </w:style>
  <w:style w:type="character" w:customStyle="1" w:styleId="21">
    <w:name w:val="标题 2 字符1"/>
    <w:basedOn w:val="a0"/>
    <w:link w:val="2"/>
    <w:uiPriority w:val="9"/>
    <w:qFormat/>
    <w:rsid w:val="00230E61"/>
    <w:rPr>
      <w:rFonts w:ascii="Times New Roman" w:eastAsia="方正小标宋_GBK" w:hAnsi="Times New Roman" w:cs="Times New Roman"/>
      <w:b/>
      <w:sz w:val="36"/>
      <w:szCs w:val="20"/>
    </w:rPr>
  </w:style>
  <w:style w:type="paragraph" w:styleId="a5">
    <w:name w:val="header"/>
    <w:basedOn w:val="a"/>
    <w:link w:val="a6"/>
    <w:uiPriority w:val="99"/>
    <w:unhideWhenUsed/>
    <w:rsid w:val="0092264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22647"/>
    <w:rPr>
      <w:rFonts w:ascii="Times New Roman" w:eastAsia="宋体" w:hAnsi="Times New Roman" w:cs="Times New Roman"/>
      <w:sz w:val="18"/>
      <w:szCs w:val="18"/>
    </w:rPr>
  </w:style>
  <w:style w:type="paragraph" w:styleId="a7">
    <w:name w:val="footer"/>
    <w:basedOn w:val="a"/>
    <w:link w:val="a8"/>
    <w:uiPriority w:val="99"/>
    <w:unhideWhenUsed/>
    <w:rsid w:val="00922647"/>
    <w:pPr>
      <w:tabs>
        <w:tab w:val="center" w:pos="4153"/>
        <w:tab w:val="right" w:pos="8306"/>
      </w:tabs>
      <w:snapToGrid w:val="0"/>
      <w:jc w:val="left"/>
    </w:pPr>
    <w:rPr>
      <w:sz w:val="18"/>
      <w:szCs w:val="18"/>
    </w:rPr>
  </w:style>
  <w:style w:type="character" w:customStyle="1" w:styleId="a8">
    <w:name w:val="页脚 字符"/>
    <w:basedOn w:val="a0"/>
    <w:link w:val="a7"/>
    <w:uiPriority w:val="99"/>
    <w:rsid w:val="009226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744</Characters>
  <Application>Microsoft Office Word</Application>
  <DocSecurity>0</DocSecurity>
  <Lines>6</Lines>
  <Paragraphs>1</Paragraphs>
  <ScaleCrop>false</ScaleCrop>
  <Company>中山大学</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2022-04-18T06:57:00Z</dcterms:created>
  <dcterms:modified xsi:type="dcterms:W3CDTF">2022-04-18T07:01:00Z</dcterms:modified>
</cp:coreProperties>
</file>